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5E3E54E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</w:t>
      </w:r>
      <w:r w:rsidR="00800DCE">
        <w:rPr>
          <w:rFonts w:ascii="Corbel" w:hAnsi="Corbel"/>
          <w:i/>
          <w:smallCaps/>
          <w:sz w:val="24"/>
          <w:szCs w:val="24"/>
        </w:rPr>
        <w:t>202</w:t>
      </w:r>
      <w:r w:rsidR="009E43C1">
        <w:rPr>
          <w:rFonts w:ascii="Corbel" w:hAnsi="Corbel"/>
          <w:i/>
          <w:smallCaps/>
          <w:sz w:val="24"/>
          <w:szCs w:val="24"/>
        </w:rPr>
        <w:t>3</w:t>
      </w:r>
      <w:r w:rsidR="00800DCE">
        <w:rPr>
          <w:rFonts w:ascii="Corbel" w:hAnsi="Corbel"/>
          <w:i/>
          <w:smallCaps/>
          <w:sz w:val="24"/>
          <w:szCs w:val="24"/>
        </w:rPr>
        <w:t>/202</w:t>
      </w:r>
      <w:r w:rsidR="009E43C1">
        <w:rPr>
          <w:rFonts w:ascii="Corbel" w:hAnsi="Corbel"/>
          <w:i/>
          <w:smallCaps/>
          <w:sz w:val="24"/>
          <w:szCs w:val="24"/>
        </w:rPr>
        <w:t>8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........</w:t>
      </w:r>
      <w:r w:rsidR="00923D7D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....</w:t>
      </w:r>
      <w:r w:rsidRPr="00B169DF">
        <w:rPr>
          <w:rFonts w:ascii="Corbel" w:hAnsi="Corbel"/>
          <w:i/>
          <w:smallCaps/>
          <w:sz w:val="24"/>
          <w:szCs w:val="24"/>
        </w:rPr>
        <w:t>..</w:t>
      </w:r>
      <w:r w:rsidR="0085747A" w:rsidRPr="00B169DF">
        <w:rPr>
          <w:rFonts w:ascii="Corbel" w:hAnsi="Corbel"/>
          <w:i/>
          <w:smallCaps/>
          <w:sz w:val="24"/>
          <w:szCs w:val="24"/>
        </w:rPr>
        <w:t>...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436CACC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Rok akademicki   ....</w:t>
      </w:r>
      <w:r w:rsidR="00800DCE">
        <w:rPr>
          <w:rFonts w:ascii="Corbel" w:hAnsi="Corbel"/>
          <w:sz w:val="20"/>
          <w:szCs w:val="20"/>
        </w:rPr>
        <w:t>202</w:t>
      </w:r>
      <w:r w:rsidR="009E43C1">
        <w:rPr>
          <w:rFonts w:ascii="Corbel" w:hAnsi="Corbel"/>
          <w:sz w:val="20"/>
          <w:szCs w:val="20"/>
        </w:rPr>
        <w:t>5</w:t>
      </w:r>
      <w:r w:rsidR="00800DCE">
        <w:rPr>
          <w:rFonts w:ascii="Corbel" w:hAnsi="Corbel"/>
          <w:sz w:val="20"/>
          <w:szCs w:val="20"/>
        </w:rPr>
        <w:t>/202</w:t>
      </w:r>
      <w:r w:rsidR="009E43C1">
        <w:rPr>
          <w:rFonts w:ascii="Corbel" w:hAnsi="Corbel"/>
          <w:sz w:val="20"/>
          <w:szCs w:val="20"/>
        </w:rPr>
        <w:t>6</w:t>
      </w:r>
      <w:r w:rsidRPr="00B169DF">
        <w:rPr>
          <w:rFonts w:ascii="Corbel" w:hAnsi="Corbel"/>
          <w:sz w:val="20"/>
          <w:szCs w:val="20"/>
        </w:rPr>
        <w:t>............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3668E4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Prawo wykroczeń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56D733EA" w:rsidR="0085747A" w:rsidRPr="009E43C1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43C1">
              <w:rPr>
                <w:rFonts w:ascii="Corbel" w:eastAsia="Times New Roman" w:hAnsi="Corbel" w:cs="Courier New"/>
                <w:b w:val="0"/>
                <w:bCs/>
                <w:sz w:val="24"/>
                <w:szCs w:val="24"/>
                <w:lang w:eastAsia="pl-PL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71B779C0" w:rsidR="0085747A" w:rsidRPr="009E43C1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E43C1">
              <w:rPr>
                <w:rFonts w:ascii="Corbel" w:hAnsi="Corbel"/>
                <w:b w:val="0"/>
                <w:bCs/>
                <w:sz w:val="24"/>
                <w:szCs w:val="24"/>
              </w:rPr>
              <w:t>Zakład Prawa Karnego Procesowego</w:t>
            </w:r>
            <w:r w:rsidRPr="009E43C1">
              <w:rPr>
                <w:rFonts w:ascii="Corbel" w:eastAsia="Times New Roman" w:hAnsi="Corbel" w:cs="Courier New"/>
                <w:b w:val="0"/>
                <w:bCs/>
                <w:sz w:val="24"/>
                <w:szCs w:val="24"/>
                <w:lang w:eastAsia="pl-PL"/>
              </w:rPr>
              <w:t xml:space="preserve"> Instytut Nauk Prawnych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26D252FD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E296B01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6320F474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10F8EB10" w:rsidR="0085747A" w:rsidRPr="00B169DF" w:rsidRDefault="00872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A5441E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B5768D0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</w:t>
            </w:r>
            <w:r w:rsidR="009E43C1">
              <w:rPr>
                <w:rFonts w:ascii="Corbel" w:hAnsi="Corbel"/>
                <w:b w:val="0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</w:t>
            </w:r>
            <w:r w:rsidR="009E43C1">
              <w:rPr>
                <w:rFonts w:ascii="Corbel" w:hAnsi="Corbel"/>
                <w:b w:val="0"/>
                <w:sz w:val="24"/>
                <w:szCs w:val="24"/>
              </w:rPr>
              <w:t>estr VI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61615746" w:rsidR="0085747A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D389926" w:rsidR="00923D7D" w:rsidRPr="00B169DF" w:rsidRDefault="00A5441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Język polski 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28662F2" w14:textId="451ACAAC" w:rsidR="00A5441E" w:rsidRDefault="00A5441E" w:rsidP="00A5441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P. K. Sowiński, </w:t>
            </w:r>
            <w:proofErr w:type="spellStart"/>
            <w:r w:rsidR="002B668B">
              <w:rPr>
                <w:rFonts w:ascii="Corbel" w:hAnsi="Corbel"/>
                <w:b w:val="0"/>
                <w:sz w:val="24"/>
                <w:szCs w:val="24"/>
              </w:rPr>
              <w:t>prof.</w:t>
            </w:r>
            <w:r>
              <w:rPr>
                <w:rFonts w:ascii="Corbel" w:hAnsi="Corbel"/>
                <w:b w:val="0"/>
                <w:sz w:val="24"/>
                <w:szCs w:val="24"/>
              </w:rPr>
              <w:t>UR</w:t>
            </w:r>
            <w:proofErr w:type="spellEnd"/>
          </w:p>
          <w:p w14:paraId="0F0450C9" w14:textId="77777777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A38AA5E" w14:textId="2FDDF7C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P. K. Sowiński, prof. UR,</w:t>
            </w:r>
          </w:p>
          <w:p w14:paraId="7AECC2C5" w14:textId="34C01E03" w:rsidR="00A5441E" w:rsidRDefault="00A5441E" w:rsidP="00A54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hab. M.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Klejnowska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prof</w:t>
            </w:r>
            <w:proofErr w:type="spellEnd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UR,</w:t>
            </w:r>
            <w:r w:rsidR="002B668B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dr hab. Jerzy </w:t>
            </w:r>
            <w:proofErr w:type="spellStart"/>
            <w:r w:rsidR="002B668B">
              <w:rPr>
                <w:rFonts w:ascii="Corbel" w:hAnsi="Corbel"/>
                <w:b w:val="0"/>
                <w:color w:val="auto"/>
                <w:sz w:val="24"/>
                <w:szCs w:val="24"/>
              </w:rPr>
              <w:t>Nikolajew</w:t>
            </w:r>
            <w:proofErr w:type="spellEnd"/>
            <w:r w:rsidR="002B668B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67F8EB9C" w14:textId="77777777" w:rsidR="00A5441E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A. Masłowska, </w:t>
            </w:r>
          </w:p>
          <w:p w14:paraId="5373BD2D" w14:textId="77777777" w:rsidR="00A5441E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B. Bachurska,</w:t>
            </w:r>
          </w:p>
          <w:p w14:paraId="6C837949" w14:textId="1A2D4AB5" w:rsidR="0085747A" w:rsidRPr="000C7F27" w:rsidRDefault="00A5441E" w:rsidP="009E43C1">
            <w:pPr>
              <w:pStyle w:val="Odpowiedzi"/>
              <w:spacing w:before="0" w:after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C7F27">
              <w:rPr>
                <w:rFonts w:ascii="Corbel" w:hAnsi="Corbel"/>
                <w:b w:val="0"/>
                <w:bCs/>
                <w:sz w:val="24"/>
                <w:szCs w:val="24"/>
              </w:rPr>
              <w:t>Mgr D. Barczak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9E43C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9E43C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4A576637" w:rsidR="00015B8F" w:rsidRPr="00B169DF" w:rsidRDefault="009E43C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395D04B4" w:rsidR="00015B8F" w:rsidRPr="00B169DF" w:rsidRDefault="00015B8F" w:rsidP="009E43C1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1071835A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6DC8CCA3" w:rsidR="00015B8F" w:rsidRPr="00B169DF" w:rsidRDefault="002B668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30E661DF" w:rsidR="00015B8F" w:rsidRPr="00B169DF" w:rsidRDefault="00A5441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38C805D2" w14:textId="12933B46" w:rsidR="0085747A" w:rsidRPr="00B169DF" w:rsidRDefault="00A5441E" w:rsidP="009E43C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26587A0" w14:textId="77777777" w:rsidR="009E43C1" w:rsidRDefault="009E43C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</w:p>
    <w:p w14:paraId="551C85EF" w14:textId="300D8E62" w:rsidR="000C7F27" w:rsidRPr="000C7F27" w:rsidRDefault="009E43C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>
        <w:rPr>
          <w:rFonts w:ascii="Corbel" w:hAnsi="Corbel"/>
          <w:b w:val="0"/>
          <w:bCs/>
          <w:smallCaps w:val="0"/>
          <w:szCs w:val="24"/>
        </w:rPr>
        <w:t>Z</w:t>
      </w:r>
      <w:r w:rsidR="000C7F27" w:rsidRPr="000C7F27">
        <w:rPr>
          <w:rFonts w:ascii="Corbel" w:hAnsi="Corbel"/>
          <w:b w:val="0"/>
          <w:bCs/>
          <w:smallCaps w:val="0"/>
          <w:szCs w:val="24"/>
        </w:rPr>
        <w:t>aliczenie na ocenę</w:t>
      </w:r>
    </w:p>
    <w:p w14:paraId="1041826E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5A0CFB" w14:textId="77777777" w:rsidR="009E43C1" w:rsidRPr="00B169DF" w:rsidRDefault="009E43C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BB8AE6C" w14:textId="089C6F3B" w:rsidR="0085747A" w:rsidRPr="00B169DF" w:rsidRDefault="00056D2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znać zasady prawa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wykroczeń 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materialnego i procesowego, definicję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wykroczenia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zasady wyłączenia odpowiedzialności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 wykroczenie</w:t>
            </w:r>
            <w:r w:rsidRPr="00C753F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zasady postępowania przez organami wymiaru sprawiedliwości oraz role pełnione przez poszczególnych uczestników tego postępowania, umieć zastosować metody interpretacji normy prawnej, umieć zastosować wnioskowania prawnicze</w:t>
            </w: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B169DF" w14:paraId="3370B0D4" w14:textId="77777777" w:rsidTr="00056D28">
        <w:tc>
          <w:tcPr>
            <w:tcW w:w="844" w:type="dxa"/>
            <w:vAlign w:val="center"/>
          </w:tcPr>
          <w:p w14:paraId="14E4A467" w14:textId="77777777" w:rsidR="0085747A" w:rsidRPr="00B169DF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169DF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6" w:type="dxa"/>
            <w:vAlign w:val="center"/>
          </w:tcPr>
          <w:p w14:paraId="2283C030" w14:textId="11360008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C753F0">
              <w:rPr>
                <w:rFonts w:ascii="Corbel" w:hAnsi="Corbel"/>
                <w:b w:val="0"/>
                <w:sz w:val="24"/>
                <w:szCs w:val="24"/>
              </w:rPr>
              <w:t xml:space="preserve">apoznanie studentów z problematyką prawa wykroczeń, strukturą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wykroczeń, przebiegiem postępowania w sprawach o wykroczenia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,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z praktycznym zastosowaniem przepisów ustawy Kodeks wykroczeń i Kodeks postęp</w:t>
            </w: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owania w sprawach 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o wykroczenia</w:t>
            </w:r>
          </w:p>
        </w:tc>
      </w:tr>
      <w:tr w:rsidR="0085747A" w:rsidRPr="00B169DF" w14:paraId="497B1469" w14:textId="77777777" w:rsidTr="00056D28">
        <w:tc>
          <w:tcPr>
            <w:tcW w:w="844" w:type="dxa"/>
            <w:vAlign w:val="center"/>
          </w:tcPr>
          <w:p w14:paraId="053C821F" w14:textId="5EFB49CE" w:rsidR="0085747A" w:rsidRPr="00B169DF" w:rsidRDefault="00056D2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vAlign w:val="center"/>
          </w:tcPr>
          <w:p w14:paraId="7D588F36" w14:textId="2F88C8C6" w:rsidR="0085747A" w:rsidRPr="00B169DF" w:rsidRDefault="00056D2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 w:val="24"/>
                <w:szCs w:val="24"/>
              </w:rPr>
              <w:t>S</w:t>
            </w:r>
            <w:r w:rsidRPr="00C753F0">
              <w:rPr>
                <w:rFonts w:ascii="Corbel" w:hAnsi="Corbel"/>
                <w:b w:val="0"/>
                <w:color w:val="000000"/>
                <w:sz w:val="24"/>
                <w:szCs w:val="24"/>
              </w:rPr>
              <w:t>tworzenie podstaw do samodzielnej analizy i rozwiązania kazusów, samodzielnej analizy tekstu prawnego i jego interpretacji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0C7F27" w:rsidRPr="00C753F0" w14:paraId="0C7433EB" w14:textId="77777777" w:rsidTr="00D9526B">
        <w:tc>
          <w:tcPr>
            <w:tcW w:w="1701" w:type="dxa"/>
            <w:vAlign w:val="center"/>
          </w:tcPr>
          <w:p w14:paraId="757014CA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7DA74C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42BDF531" w14:textId="77777777" w:rsidR="000C7F27" w:rsidRPr="00C753F0" w:rsidRDefault="000C7F27" w:rsidP="00D952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C753F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C7F27" w:rsidRPr="00C753F0" w14:paraId="02BFEFD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86D0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C6BC8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zna terminologię właściwą dla prawa wykroczeń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br/>
              <w:t>i poszczególnych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FAC4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0C7F27" w:rsidRPr="00C753F0" w14:paraId="7ECE4615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1B83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086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definiuje rodzaje wykroczeń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91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1C6BD0A3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38D7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CF3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ma pogłębioną wiedzę z zakresu prawa karnego </w:t>
            </w:r>
          </w:p>
          <w:p w14:paraId="19B7772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2B94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K_W01, K_W03, K_W04, K_W07, K_W10</w:t>
            </w:r>
          </w:p>
        </w:tc>
      </w:tr>
      <w:tr w:rsidR="000C7F27" w:rsidRPr="00C753F0" w14:paraId="6AC0422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FB4E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B40B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tryby postępowania w sprawach o wykroczenia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F1EE0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0C7F27" w:rsidRPr="00C753F0" w14:paraId="5E1AA46E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6B6A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9C80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zna i rozumie zaawansowane metody analizy, interpretacji teksu prawnego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BD0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K_W05, K_W09, K_W12</w:t>
            </w:r>
          </w:p>
        </w:tc>
      </w:tr>
      <w:tr w:rsidR="000C7F27" w:rsidRPr="00C753F0" w14:paraId="19B2D2A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300B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C79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proponuje alternatywne rozwiązania zagadnienia prawnego z zakresu prawa wykroczeń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80A5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K_U09,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0C7F27" w:rsidRPr="00C753F0" w14:paraId="29F1465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8191F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ACE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wyprowadza wnioski na podstawie treści aktu prawnego </w:t>
            </w:r>
          </w:p>
          <w:p w14:paraId="030DF07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EB0E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K_U01,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K_U03, </w:t>
            </w:r>
          </w:p>
          <w:p w14:paraId="3C65D6E1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K_U06,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K_U15</w:t>
            </w:r>
          </w:p>
        </w:tc>
      </w:tr>
      <w:tr w:rsidR="000C7F27" w:rsidRPr="00C753F0" w14:paraId="49A92B8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5225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B87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samodzielnie zdobywa wiedzę i rozwija umiejętności badawcze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0E08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K_U12, </w:t>
            </w:r>
          </w:p>
          <w:p w14:paraId="6293582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0C7F27" w:rsidRPr="00C753F0" w14:paraId="43A110AD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AB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4B0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tekst prawny, posługuje się regułami logicznego rozumowania oraz interpretowania przepisów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4772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K_U04,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K_U05, </w:t>
            </w:r>
          </w:p>
          <w:p w14:paraId="43F5B15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0C7F27" w:rsidRPr="00C753F0" w14:paraId="2E460551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8DE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5EBE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zachowuje ostrożno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ść/krytycyzm w wyrażaniu opinii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w przedmiocie wybranego zagadnienia z prawa karnego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uzupełnia posiadane umiejętności z uwzględnieniem ich interdyscyplinarnego wymiaru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67DA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K_K01,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K_K07, </w:t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  <w:tr w:rsidR="000C7F27" w:rsidRPr="00C753F0" w14:paraId="430FD1D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6B636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921E3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rozumie potrzebę uczenia się przez całe życie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5ED5C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0C7F27" w:rsidRPr="00C753F0" w14:paraId="1BBE40AC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202C4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0F4F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prawidłowo identyfikuje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rozstrzyga dylematy związane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C753F0">
              <w:rPr>
                <w:rFonts w:ascii="Corbel" w:hAnsi="Corbel"/>
                <w:b w:val="0"/>
                <w:smallCaps w:val="0"/>
                <w:szCs w:val="24"/>
              </w:rPr>
              <w:t>z wykonywaniem zawodu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37B4D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 K_K06</w:t>
            </w:r>
          </w:p>
        </w:tc>
      </w:tr>
      <w:tr w:rsidR="000C7F27" w:rsidRPr="00C753F0" w14:paraId="5DE84847" w14:textId="77777777" w:rsidTr="00D9526B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B829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>EK_13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CE725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C753F0">
              <w:rPr>
                <w:rFonts w:ascii="Corbel" w:hAnsi="Corbel"/>
                <w:b w:val="0"/>
                <w:smallCaps w:val="0"/>
                <w:szCs w:val="24"/>
              </w:rPr>
              <w:t xml:space="preserve">rozumie potrzebę zachowania etyki zawodowej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C3FCB" w14:textId="77777777" w:rsidR="000C7F27" w:rsidRPr="00C753F0" w:rsidRDefault="000C7F27" w:rsidP="00D9526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374CAD0C" w14:textId="77777777" w:rsidR="000C7F27" w:rsidRPr="00B169DF" w:rsidRDefault="000C7F27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4DF9B71D" w:rsidR="0085747A" w:rsidRPr="009E43C1" w:rsidRDefault="0085747A" w:rsidP="009E43C1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0C7F27" w:rsidRPr="00B169DF" w14:paraId="5E6A8E82" w14:textId="77777777" w:rsidTr="00D9526B">
        <w:tc>
          <w:tcPr>
            <w:tcW w:w="9520" w:type="dxa"/>
          </w:tcPr>
          <w:p w14:paraId="56C4FEA9" w14:textId="77777777" w:rsidR="000C7F27" w:rsidRPr="00B169DF" w:rsidRDefault="000C7F27" w:rsidP="00D9526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C7F27" w:rsidRPr="00B169DF" w14:paraId="005EE330" w14:textId="77777777" w:rsidTr="00D9526B">
        <w:tc>
          <w:tcPr>
            <w:tcW w:w="9520" w:type="dxa"/>
          </w:tcPr>
          <w:p w14:paraId="38E9E765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1. Miejsce prawa wykroczeń w systemie prawa polskiego. Prawo wykroczeń a prawo karne. Obowiązywanie ustawy karnej ze względu na czas popełnienia czynu zabronionego, czas popełnienia czynu zabronionego, zasady prawa intertemporalnego, obowiązywanie ustawy ze względu na miejsce popełnienia czynu zabronionego (2)</w:t>
            </w:r>
          </w:p>
        </w:tc>
      </w:tr>
      <w:tr w:rsidR="000C7F27" w:rsidRPr="00B169DF" w14:paraId="1BCBC100" w14:textId="77777777" w:rsidTr="00D9526B">
        <w:tc>
          <w:tcPr>
            <w:tcW w:w="9520" w:type="dxa"/>
          </w:tcPr>
          <w:p w14:paraId="533E6594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2. Pojęcie wykroczenia. Wykroczenie a przestępstwo (1)</w:t>
            </w:r>
          </w:p>
        </w:tc>
      </w:tr>
      <w:tr w:rsidR="000C7F27" w:rsidRPr="00B169DF" w14:paraId="13AE2880" w14:textId="77777777" w:rsidTr="00D9526B">
        <w:tc>
          <w:tcPr>
            <w:tcW w:w="9520" w:type="dxa"/>
          </w:tcPr>
          <w:p w14:paraId="72B7E3E1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3. Zasada winy w prawie wykroczeń. Społeczna szkodliwość wykroczeń (1)</w:t>
            </w:r>
          </w:p>
        </w:tc>
      </w:tr>
      <w:tr w:rsidR="000C7F27" w:rsidRPr="00B169DF" w14:paraId="1169A260" w14:textId="77777777" w:rsidTr="00D9526B">
        <w:tc>
          <w:tcPr>
            <w:tcW w:w="9520" w:type="dxa"/>
          </w:tcPr>
          <w:p w14:paraId="1B54706C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4. Okoliczności wyłączające przyjęcie bezprawności czynu (1)</w:t>
            </w:r>
          </w:p>
        </w:tc>
      </w:tr>
      <w:tr w:rsidR="000C7F27" w:rsidRPr="00B169DF" w14:paraId="7E4F8EEB" w14:textId="77777777" w:rsidTr="00D9526B">
        <w:tc>
          <w:tcPr>
            <w:tcW w:w="9520" w:type="dxa"/>
          </w:tcPr>
          <w:p w14:paraId="1C86E6C3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5. Okoliczności wyłączające winę (1)</w:t>
            </w:r>
          </w:p>
        </w:tc>
      </w:tr>
      <w:tr w:rsidR="000C7F27" w:rsidRPr="00B169DF" w14:paraId="7C9C237A" w14:textId="77777777" w:rsidTr="00D9526B">
        <w:tc>
          <w:tcPr>
            <w:tcW w:w="9520" w:type="dxa"/>
          </w:tcPr>
          <w:p w14:paraId="4D2AC38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6. Formy popełnienia wykroczenia (2)</w:t>
            </w:r>
          </w:p>
        </w:tc>
      </w:tr>
      <w:tr w:rsidR="000C7F27" w:rsidRPr="00B169DF" w14:paraId="511B8631" w14:textId="77777777" w:rsidTr="00D9526B">
        <w:tc>
          <w:tcPr>
            <w:tcW w:w="9520" w:type="dxa"/>
          </w:tcPr>
          <w:p w14:paraId="0D09EED1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7. Zbieg przepisów ustawy, zbieg idealny (2)</w:t>
            </w:r>
          </w:p>
        </w:tc>
      </w:tr>
      <w:tr w:rsidR="000C7F27" w:rsidRPr="00B169DF" w14:paraId="6AF80C00" w14:textId="77777777" w:rsidTr="00D9526B">
        <w:tc>
          <w:tcPr>
            <w:tcW w:w="9520" w:type="dxa"/>
          </w:tcPr>
          <w:p w14:paraId="27F7DD7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8. Katalog kar i środków karnych. Zasady wymiaru kar i środków karnych, nadzwyczajny wymiar kary (1)</w:t>
            </w:r>
          </w:p>
        </w:tc>
      </w:tr>
      <w:tr w:rsidR="000C7F27" w:rsidRPr="00B169DF" w14:paraId="62F479E3" w14:textId="77777777" w:rsidTr="00D9526B">
        <w:tc>
          <w:tcPr>
            <w:tcW w:w="9520" w:type="dxa"/>
          </w:tcPr>
          <w:p w14:paraId="6943A3EC" w14:textId="76F3AAF1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9. Przedawnienie orzekania i wykonania kary. Zatarcie skazania (1)</w:t>
            </w:r>
            <w:r w:rsidR="009E43C1">
              <w:rPr>
                <w:rFonts w:ascii="Corbel" w:hAnsi="Corbel"/>
                <w:sz w:val="24"/>
                <w:szCs w:val="24"/>
              </w:rPr>
              <w:t>. P</w:t>
            </w:r>
            <w:r w:rsidRPr="00C753F0">
              <w:rPr>
                <w:rFonts w:ascii="Corbel" w:hAnsi="Corbel"/>
                <w:sz w:val="24"/>
                <w:szCs w:val="24"/>
              </w:rPr>
              <w:t>rzesłanki procesowe (1)</w:t>
            </w:r>
          </w:p>
        </w:tc>
      </w:tr>
      <w:tr w:rsidR="000C7F27" w:rsidRPr="00B169DF" w14:paraId="67975AC8" w14:textId="77777777" w:rsidTr="00D9526B">
        <w:tc>
          <w:tcPr>
            <w:tcW w:w="9520" w:type="dxa"/>
          </w:tcPr>
          <w:p w14:paraId="57F4DB8B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10. Organy procesowe. Strony procesowe, inni uczestnicy procesu (3)</w:t>
            </w:r>
          </w:p>
        </w:tc>
      </w:tr>
      <w:tr w:rsidR="000C7F27" w:rsidRPr="00B169DF" w14:paraId="0F1EC26E" w14:textId="77777777" w:rsidTr="00D9526B">
        <w:tc>
          <w:tcPr>
            <w:tcW w:w="9520" w:type="dxa"/>
          </w:tcPr>
          <w:p w14:paraId="34828B17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11. Postępowanie dowodowe. Dowody, środki przymusu procesowego (4)</w:t>
            </w:r>
          </w:p>
        </w:tc>
      </w:tr>
      <w:tr w:rsidR="000C7F27" w:rsidRPr="00B169DF" w14:paraId="1F259BED" w14:textId="77777777" w:rsidTr="00D9526B">
        <w:tc>
          <w:tcPr>
            <w:tcW w:w="9520" w:type="dxa"/>
          </w:tcPr>
          <w:p w14:paraId="2A15BDF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12. Czynności wyjaśniające (1)</w:t>
            </w:r>
          </w:p>
        </w:tc>
      </w:tr>
      <w:tr w:rsidR="000C7F27" w:rsidRPr="00B169DF" w14:paraId="03F6E25A" w14:textId="77777777" w:rsidTr="00D9526B">
        <w:tc>
          <w:tcPr>
            <w:tcW w:w="9520" w:type="dxa"/>
          </w:tcPr>
          <w:p w14:paraId="00DB9BDB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13. Orzekanie przed rozprawą (1)</w:t>
            </w:r>
          </w:p>
        </w:tc>
      </w:tr>
      <w:tr w:rsidR="000C7F27" w:rsidRPr="00B169DF" w14:paraId="536BB98E" w14:textId="77777777" w:rsidTr="00D9526B">
        <w:tc>
          <w:tcPr>
            <w:tcW w:w="9520" w:type="dxa"/>
          </w:tcPr>
          <w:p w14:paraId="3156363E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14. Przebieg rozprawy (1)</w:t>
            </w:r>
          </w:p>
        </w:tc>
      </w:tr>
      <w:tr w:rsidR="000C7F27" w:rsidRPr="00B169DF" w14:paraId="141B4630" w14:textId="77777777" w:rsidTr="00D9526B">
        <w:tc>
          <w:tcPr>
            <w:tcW w:w="9520" w:type="dxa"/>
          </w:tcPr>
          <w:p w14:paraId="66BA4CA5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15. Postępowania szczególne (3)</w:t>
            </w:r>
          </w:p>
        </w:tc>
      </w:tr>
      <w:tr w:rsidR="000C7F27" w:rsidRPr="00B169DF" w14:paraId="0BE96638" w14:textId="77777777" w:rsidTr="00D9526B">
        <w:tc>
          <w:tcPr>
            <w:tcW w:w="9520" w:type="dxa"/>
          </w:tcPr>
          <w:p w14:paraId="756056A8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16. Postępowanie odwoławcze (1)</w:t>
            </w:r>
          </w:p>
        </w:tc>
      </w:tr>
      <w:tr w:rsidR="000C7F27" w:rsidRPr="00B169DF" w14:paraId="559B544F" w14:textId="77777777" w:rsidTr="00D9526B">
        <w:tc>
          <w:tcPr>
            <w:tcW w:w="9520" w:type="dxa"/>
          </w:tcPr>
          <w:p w14:paraId="14031723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17. Nadzwyczajne środki zaskarżenia (1)</w:t>
            </w:r>
          </w:p>
        </w:tc>
      </w:tr>
      <w:tr w:rsidR="000C7F27" w:rsidRPr="00B169DF" w14:paraId="2D71A0F6" w14:textId="77777777" w:rsidTr="00D9526B">
        <w:tc>
          <w:tcPr>
            <w:tcW w:w="9520" w:type="dxa"/>
          </w:tcPr>
          <w:p w14:paraId="42FE3630" w14:textId="77777777" w:rsidR="000C7F27" w:rsidRPr="00B169DF" w:rsidRDefault="000C7F27" w:rsidP="009E43C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753F0">
              <w:rPr>
                <w:rFonts w:ascii="Corbel" w:hAnsi="Corbel"/>
                <w:sz w:val="24"/>
                <w:szCs w:val="24"/>
              </w:rPr>
              <w:t>19. Postępowanie wykonawcze (1)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5990F3" w14:textId="77777777" w:rsidR="00E21E7D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B169DF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B169DF">
        <w:rPr>
          <w:rFonts w:ascii="Corbel" w:hAnsi="Corbel"/>
          <w:sz w:val="20"/>
          <w:szCs w:val="20"/>
        </w:rPr>
        <w:t>.:</w:t>
      </w:r>
      <w:r w:rsidR="00923D7D" w:rsidRPr="00B169DF">
        <w:rPr>
          <w:rFonts w:ascii="Corbel" w:hAnsi="Corbel"/>
          <w:sz w:val="20"/>
          <w:szCs w:val="20"/>
        </w:rPr>
        <w:t xml:space="preserve"> </w:t>
      </w:r>
    </w:p>
    <w:p w14:paraId="4A1A7ADE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z w:val="20"/>
          <w:szCs w:val="20"/>
        </w:rPr>
        <w:t xml:space="preserve"> 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B169DF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4E86026" w14:textId="77777777" w:rsidR="00153C41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</w:t>
      </w:r>
      <w:r w:rsidR="00923D7D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(projekt badawczy, wdrożeniowy, praktyczny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B169DF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1BD9947" w14:textId="77777777" w:rsidR="0085747A" w:rsidRPr="00B169DF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B169DF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  <w:r w:rsidR="00BF2C41" w:rsidRPr="00B169DF">
        <w:rPr>
          <w:rFonts w:ascii="Corbel" w:hAnsi="Corbel"/>
          <w:b w:val="0"/>
          <w:i/>
          <w:smallCaps w:val="0"/>
          <w:sz w:val="20"/>
          <w:szCs w:val="20"/>
        </w:rPr>
        <w:t xml:space="preserve"> </w:t>
      </w:r>
    </w:p>
    <w:p w14:paraId="31ADFBD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85E7119" w:rsidR="00E960BB" w:rsidRPr="00872C2E" w:rsidRDefault="009E43C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iCs/>
          <w:smallCaps w:val="0"/>
          <w:sz w:val="22"/>
        </w:rPr>
      </w:pPr>
      <w:r w:rsidRPr="00872C2E">
        <w:rPr>
          <w:rFonts w:ascii="Corbel" w:hAnsi="Corbel"/>
          <w:b w:val="0"/>
          <w:iCs/>
          <w:smallCaps w:val="0"/>
          <w:sz w:val="22"/>
        </w:rPr>
        <w:t>Analiza tekstów z dyskusją, praca w grupach (rozwiązywanie zadań, dyskusja)</w:t>
      </w:r>
    </w:p>
    <w:p w14:paraId="7883094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69E2ED5" w14:textId="77777777" w:rsidR="009E43C1" w:rsidRPr="00B169DF" w:rsidRDefault="009E43C1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08EB32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862A8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B169DF" w14:paraId="3A51B283" w14:textId="77777777" w:rsidTr="00E862A8">
        <w:tc>
          <w:tcPr>
            <w:tcW w:w="1962" w:type="dxa"/>
          </w:tcPr>
          <w:p w14:paraId="6267168D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B169DF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B169DF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27D90EF1" w14:textId="6D760464" w:rsidR="0085747A" w:rsidRPr="00B169DF" w:rsidRDefault="00E862A8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4D1F06B9" w14:textId="3BF2F004" w:rsidR="0085747A" w:rsidRPr="00B169DF" w:rsidRDefault="002B668B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635E67C7" w14:textId="77777777" w:rsidTr="00E862A8">
        <w:tc>
          <w:tcPr>
            <w:tcW w:w="1962" w:type="dxa"/>
          </w:tcPr>
          <w:p w14:paraId="6B3A141E" w14:textId="7777777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169DF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E22BC82" w14:textId="25A8FAA6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05A69994" w14:textId="5165BAAA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6A0C224B" w14:textId="77777777" w:rsidTr="00E862A8">
        <w:tc>
          <w:tcPr>
            <w:tcW w:w="1962" w:type="dxa"/>
          </w:tcPr>
          <w:p w14:paraId="249C657F" w14:textId="510DA42F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03</w:t>
            </w:r>
          </w:p>
        </w:tc>
        <w:tc>
          <w:tcPr>
            <w:tcW w:w="5441" w:type="dxa"/>
          </w:tcPr>
          <w:p w14:paraId="1EEE85DE" w14:textId="4B306018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F924920" w14:textId="728A2521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2E0A16C" w14:textId="77777777" w:rsidTr="00E862A8">
        <w:tc>
          <w:tcPr>
            <w:tcW w:w="1962" w:type="dxa"/>
          </w:tcPr>
          <w:p w14:paraId="793D27A0" w14:textId="6711AAB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04</w:t>
            </w:r>
          </w:p>
        </w:tc>
        <w:tc>
          <w:tcPr>
            <w:tcW w:w="5441" w:type="dxa"/>
          </w:tcPr>
          <w:p w14:paraId="3A262C5F" w14:textId="2825DE38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65810D1B" w14:textId="1FDD311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4996692D" w14:textId="77777777" w:rsidTr="00E862A8">
        <w:tc>
          <w:tcPr>
            <w:tcW w:w="1962" w:type="dxa"/>
          </w:tcPr>
          <w:p w14:paraId="2689BEE0" w14:textId="0433FAE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05</w:t>
            </w:r>
          </w:p>
        </w:tc>
        <w:tc>
          <w:tcPr>
            <w:tcW w:w="5441" w:type="dxa"/>
          </w:tcPr>
          <w:p w14:paraId="0D6C683A" w14:textId="4DCF73E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2E72C2D" w14:textId="4CE9C37E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55DF6B7B" w14:textId="77777777" w:rsidTr="00E862A8">
        <w:tc>
          <w:tcPr>
            <w:tcW w:w="1962" w:type="dxa"/>
          </w:tcPr>
          <w:p w14:paraId="0B3FB416" w14:textId="0356C11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06</w:t>
            </w:r>
          </w:p>
        </w:tc>
        <w:tc>
          <w:tcPr>
            <w:tcW w:w="5441" w:type="dxa"/>
          </w:tcPr>
          <w:p w14:paraId="25EC6126" w14:textId="04C11442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857A846" w14:textId="233028B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518F9294" w14:textId="77777777" w:rsidTr="00E862A8">
        <w:tc>
          <w:tcPr>
            <w:tcW w:w="1962" w:type="dxa"/>
          </w:tcPr>
          <w:p w14:paraId="5D2D5A52" w14:textId="522F6713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07</w:t>
            </w:r>
          </w:p>
        </w:tc>
        <w:tc>
          <w:tcPr>
            <w:tcW w:w="5441" w:type="dxa"/>
          </w:tcPr>
          <w:p w14:paraId="2FEEF027" w14:textId="6EF7366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7C7FE560" w14:textId="75FDB96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3544BCBD" w14:textId="77777777" w:rsidTr="00E862A8">
        <w:tc>
          <w:tcPr>
            <w:tcW w:w="1962" w:type="dxa"/>
          </w:tcPr>
          <w:p w14:paraId="665BBBD9" w14:textId="7194613B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08</w:t>
            </w:r>
          </w:p>
        </w:tc>
        <w:tc>
          <w:tcPr>
            <w:tcW w:w="5441" w:type="dxa"/>
          </w:tcPr>
          <w:p w14:paraId="684258C2" w14:textId="38D20CA7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5453FE04" w14:textId="41C8848C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19AB386E" w14:textId="77777777" w:rsidTr="00E862A8">
        <w:tc>
          <w:tcPr>
            <w:tcW w:w="1962" w:type="dxa"/>
          </w:tcPr>
          <w:p w14:paraId="4BC3750D" w14:textId="274C6AB2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09</w:t>
            </w:r>
          </w:p>
        </w:tc>
        <w:tc>
          <w:tcPr>
            <w:tcW w:w="5441" w:type="dxa"/>
          </w:tcPr>
          <w:p w14:paraId="246E58E1" w14:textId="44E2A63D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8546B75" w14:textId="27CA6CD5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7AFC5CEB" w14:textId="77777777" w:rsidTr="00E862A8">
        <w:tc>
          <w:tcPr>
            <w:tcW w:w="1962" w:type="dxa"/>
          </w:tcPr>
          <w:p w14:paraId="0CC55416" w14:textId="2F36F29E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</w:tc>
        <w:tc>
          <w:tcPr>
            <w:tcW w:w="5441" w:type="dxa"/>
          </w:tcPr>
          <w:p w14:paraId="093785A5" w14:textId="690D342A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320EC084" w14:textId="5E0EAEE4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D8623D6" w14:textId="77777777" w:rsidTr="00E862A8">
        <w:tc>
          <w:tcPr>
            <w:tcW w:w="1962" w:type="dxa"/>
          </w:tcPr>
          <w:p w14:paraId="2AF00D1F" w14:textId="5C54864A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11</w:t>
            </w:r>
          </w:p>
        </w:tc>
        <w:tc>
          <w:tcPr>
            <w:tcW w:w="5441" w:type="dxa"/>
          </w:tcPr>
          <w:p w14:paraId="563416D5" w14:textId="3A972379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75CC88A" w14:textId="7BF9F3CF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74C2F2B4" w14:textId="77777777" w:rsidTr="00E862A8">
        <w:tc>
          <w:tcPr>
            <w:tcW w:w="1962" w:type="dxa"/>
          </w:tcPr>
          <w:p w14:paraId="7A088D55" w14:textId="5F7B343D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12</w:t>
            </w:r>
          </w:p>
        </w:tc>
        <w:tc>
          <w:tcPr>
            <w:tcW w:w="5441" w:type="dxa"/>
          </w:tcPr>
          <w:p w14:paraId="3522E539" w14:textId="5338A83B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16C0928D" w14:textId="3048141D" w:rsidR="002B668B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  <w:tr w:rsidR="002B668B" w:rsidRPr="00B169DF" w14:paraId="2DE02FB9" w14:textId="77777777" w:rsidTr="00E862A8">
        <w:tc>
          <w:tcPr>
            <w:tcW w:w="1962" w:type="dxa"/>
          </w:tcPr>
          <w:p w14:paraId="7EAAF2A1" w14:textId="735BB7F0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B169DF">
              <w:rPr>
                <w:rFonts w:ascii="Corbel" w:hAnsi="Corbel"/>
                <w:b w:val="0"/>
                <w:szCs w:val="24"/>
              </w:rPr>
              <w:t>_</w:t>
            </w:r>
            <w:r>
              <w:rPr>
                <w:rFonts w:ascii="Corbel" w:hAnsi="Corbel"/>
                <w:b w:val="0"/>
                <w:szCs w:val="24"/>
              </w:rPr>
              <w:t>13</w:t>
            </w:r>
          </w:p>
        </w:tc>
        <w:tc>
          <w:tcPr>
            <w:tcW w:w="5441" w:type="dxa"/>
          </w:tcPr>
          <w:p w14:paraId="7F2AF99A" w14:textId="40B216FA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Zaliczenie ustne lub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pisemnE</w:t>
            </w:r>
            <w:proofErr w:type="spellEnd"/>
            <w:r w:rsidRPr="00C753F0">
              <w:rPr>
                <w:rFonts w:ascii="Corbel" w:hAnsi="Corbel"/>
                <w:b w:val="0"/>
                <w:szCs w:val="24"/>
              </w:rPr>
              <w:t xml:space="preserve">,  </w:t>
            </w:r>
          </w:p>
        </w:tc>
        <w:tc>
          <w:tcPr>
            <w:tcW w:w="2117" w:type="dxa"/>
          </w:tcPr>
          <w:p w14:paraId="2EB69789" w14:textId="071F89B3" w:rsidR="002B668B" w:rsidRPr="00B169DF" w:rsidRDefault="002B668B" w:rsidP="002B668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921A7">
              <w:rPr>
                <w:rFonts w:ascii="Corbel" w:hAnsi="Corbel"/>
                <w:b w:val="0"/>
                <w:szCs w:val="24"/>
              </w:rPr>
              <w:t>ĆW.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24033F53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>Zaliczenie ustne</w:t>
            </w:r>
            <w:r w:rsidRPr="00C753F0"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  <w:t xml:space="preserve"> (co najmniej na trzy pytania)</w:t>
            </w:r>
          </w:p>
          <w:p w14:paraId="2BA11C0F" w14:textId="77777777" w:rsidR="004F5CFC" w:rsidRPr="00C753F0" w:rsidRDefault="004F5CFC" w:rsidP="004F5CFC">
            <w:pPr>
              <w:snapToGrid w:val="0"/>
              <w:spacing w:after="28" w:line="200" w:lineRule="atLeast"/>
              <w:rPr>
                <w:rFonts w:ascii="Corbel" w:eastAsia="Times New Roman" w:hAnsi="Corbel"/>
                <w:color w:val="000000"/>
                <w:sz w:val="24"/>
                <w:szCs w:val="24"/>
                <w:lang w:eastAsia="pl-PL"/>
              </w:rPr>
            </w:pPr>
          </w:p>
          <w:p w14:paraId="5EBE3B2C" w14:textId="77777777" w:rsidR="004F5CFC" w:rsidRPr="00C753F0" w:rsidRDefault="004F5CFC" w:rsidP="004F5CFC">
            <w:pP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Zaliczenie pisemne</w:t>
            </w:r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w formie testu jednokrotnego wyboru w liczbie co najmniej 20 pytań plus pytania (maksymalnie 3) o charakterze </w:t>
            </w:r>
            <w:proofErr w:type="spellStart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>kazusowym</w:t>
            </w:r>
            <w:proofErr w:type="spellEnd"/>
            <w:r w:rsidRPr="00C753F0">
              <w:rPr>
                <w:rFonts w:ascii="Corbel" w:eastAsia="Times New Roman" w:hAnsi="Corbel" w:cs="Calibri"/>
                <w:color w:val="000000"/>
                <w:sz w:val="24"/>
                <w:szCs w:val="24"/>
                <w:lang w:eastAsia="pl-PL"/>
              </w:rPr>
              <w:t xml:space="preserve">  </w:t>
            </w:r>
          </w:p>
          <w:p w14:paraId="2BB5D64F" w14:textId="1BFF37F0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>Zaliczenie pisemne  oraz ustne</w:t>
            </w:r>
            <w:r w:rsidRPr="00C753F0">
              <w:rPr>
                <w:rFonts w:ascii="Corbel" w:eastAsia="Times New Roman" w:hAnsi="Corbel" w:cs="Calibri"/>
                <w:color w:val="000000"/>
                <w:szCs w:val="24"/>
                <w:lang w:eastAsia="pl-PL"/>
              </w:rPr>
              <w:t xml:space="preserve"> na ocenę pozytywną wymaga uzyskania co najmniej 50% poprawnych odpowiedzi.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9CE96CF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6E8967AA" w:rsidR="00C61DC5" w:rsidRPr="00B169DF" w:rsidRDefault="00D02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03E3072C" w14:textId="0B6CF846" w:rsidR="00C61DC5" w:rsidRPr="00B169DF" w:rsidRDefault="00D029E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6494762B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029E8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4F57C207" w:rsidR="0085747A" w:rsidRPr="00B169DF" w:rsidRDefault="004F5CF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49B424F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2BD6F81A" w:rsidR="0085747A" w:rsidRPr="00B169DF" w:rsidRDefault="004F5CF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0B544F6A" w14:textId="1F875D4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4F5CFC" w:rsidRPr="00C753F0">
              <w:rPr>
                <w:rFonts w:ascii="Corbel" w:eastAsia="Times New Roman" w:hAnsi="Corbel"/>
                <w:color w:val="000000"/>
                <w:szCs w:val="24"/>
                <w:lang w:eastAsia="pl-PL"/>
              </w:rPr>
              <w:t xml:space="preserve"> - </w:t>
            </w:r>
            <w:r w:rsidR="004F5CFC" w:rsidRPr="004F5CFC">
              <w:rPr>
                <w:rFonts w:ascii="Corbel" w:eastAsia="Times New Roman" w:hAnsi="Corbel"/>
                <w:b w:val="0"/>
                <w:bCs/>
                <w:color w:val="000000"/>
                <w:szCs w:val="24"/>
                <w:lang w:eastAsia="pl-PL"/>
              </w:rPr>
              <w:t xml:space="preserve">A. Marek, Prawo wykroczeń (materialne i procesowe), Warszawa </w:t>
            </w:r>
            <w:r w:rsidR="004F5CFC" w:rsidRPr="004F5CFC">
              <w:rPr>
                <w:rFonts w:ascii="Corbel" w:eastAsia="Times New Roman" w:hAnsi="Corbel" w:cs="Calibri"/>
                <w:b w:val="0"/>
                <w:bCs/>
                <w:color w:val="000000"/>
                <w:szCs w:val="24"/>
                <w:lang w:eastAsia="pl-PL"/>
              </w:rPr>
              <w:t>2019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4596EFF9" w14:textId="5AA45873" w:rsidR="0085747A" w:rsidRPr="00D029E8" w:rsidRDefault="0085747A" w:rsidP="00D029E8">
            <w:pPr>
              <w:spacing w:after="0" w:line="200" w:lineRule="atLeast"/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</w:pPr>
            <w:r w:rsidRPr="00B169DF">
              <w:rPr>
                <w:rFonts w:ascii="Corbel" w:hAnsi="Corbel"/>
                <w:szCs w:val="24"/>
              </w:rPr>
              <w:t xml:space="preserve">Literatura uzupełniająca: </w:t>
            </w:r>
            <w:r w:rsidR="004F5CFC" w:rsidRPr="00C753F0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 xml:space="preserve">- </w:t>
            </w:r>
            <w:r w:rsidR="004F5CFC">
              <w:rPr>
                <w:rFonts w:ascii="Corbel" w:eastAsia="Times New Roman" w:hAnsi="Corbel"/>
                <w:bCs/>
                <w:color w:val="000000"/>
                <w:sz w:val="24"/>
                <w:szCs w:val="24"/>
                <w:lang w:eastAsia="pl-PL"/>
              </w:rPr>
              <w:t>P. Daniluk (red.), Kodeks wykroczeń, Komentarz, Warszawa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BF4E6C" w14:textId="77777777" w:rsidR="002E550B" w:rsidRDefault="002E550B" w:rsidP="00C16ABF">
      <w:pPr>
        <w:spacing w:after="0" w:line="240" w:lineRule="auto"/>
      </w:pPr>
      <w:r>
        <w:separator/>
      </w:r>
    </w:p>
  </w:endnote>
  <w:endnote w:type="continuationSeparator" w:id="0">
    <w:p w14:paraId="08EC0652" w14:textId="77777777" w:rsidR="002E550B" w:rsidRDefault="002E550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4401F" w14:textId="77777777" w:rsidR="002E550B" w:rsidRDefault="002E550B" w:rsidP="00C16ABF">
      <w:pPr>
        <w:spacing w:after="0" w:line="240" w:lineRule="auto"/>
      </w:pPr>
      <w:r>
        <w:separator/>
      </w:r>
    </w:p>
  </w:footnote>
  <w:footnote w:type="continuationSeparator" w:id="0">
    <w:p w14:paraId="0C26AB40" w14:textId="77777777" w:rsidR="002E550B" w:rsidRDefault="002E550B" w:rsidP="00C16ABF">
      <w:pPr>
        <w:spacing w:after="0" w:line="240" w:lineRule="auto"/>
      </w:pPr>
      <w:r>
        <w:continuationSeparator/>
      </w:r>
    </w:p>
  </w:footnote>
  <w:footnote w:id="1">
    <w:p w14:paraId="3329BD9C" w14:textId="77777777" w:rsidR="000C7F27" w:rsidRDefault="000C7F27" w:rsidP="000C7F27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7725103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6D2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7F27"/>
    <w:rsid w:val="000D04B0"/>
    <w:rsid w:val="000F1C57"/>
    <w:rsid w:val="000F5615"/>
    <w:rsid w:val="001045A1"/>
    <w:rsid w:val="00124BFF"/>
    <w:rsid w:val="0012560E"/>
    <w:rsid w:val="00127108"/>
    <w:rsid w:val="00134B13"/>
    <w:rsid w:val="00146BC0"/>
    <w:rsid w:val="00152DE7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68B"/>
    <w:rsid w:val="002C1F06"/>
    <w:rsid w:val="002D3375"/>
    <w:rsid w:val="002D73D4"/>
    <w:rsid w:val="002E550B"/>
    <w:rsid w:val="002F02A3"/>
    <w:rsid w:val="002F4ABE"/>
    <w:rsid w:val="003018BA"/>
    <w:rsid w:val="0030395F"/>
    <w:rsid w:val="00305805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3F0E"/>
    <w:rsid w:val="004D31C0"/>
    <w:rsid w:val="004D5282"/>
    <w:rsid w:val="004F1551"/>
    <w:rsid w:val="004F55A3"/>
    <w:rsid w:val="004F5CFC"/>
    <w:rsid w:val="0050496F"/>
    <w:rsid w:val="00511744"/>
    <w:rsid w:val="00513B6F"/>
    <w:rsid w:val="00517C63"/>
    <w:rsid w:val="005363C4"/>
    <w:rsid w:val="00536BDE"/>
    <w:rsid w:val="00543ACC"/>
    <w:rsid w:val="00551394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3F3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C56"/>
    <w:rsid w:val="007F4155"/>
    <w:rsid w:val="00800DCE"/>
    <w:rsid w:val="0081554D"/>
    <w:rsid w:val="0081707E"/>
    <w:rsid w:val="008449B3"/>
    <w:rsid w:val="008552A2"/>
    <w:rsid w:val="0085747A"/>
    <w:rsid w:val="00872C2E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E43C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41E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9E8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862A8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EE162-99F7-42AB-B3F2-A060DBFEF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5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2</cp:revision>
  <cp:lastPrinted>2019-02-06T12:12:00Z</cp:lastPrinted>
  <dcterms:created xsi:type="dcterms:W3CDTF">2023-10-18T14:04:00Z</dcterms:created>
  <dcterms:modified xsi:type="dcterms:W3CDTF">2023-10-18T14:04:00Z</dcterms:modified>
</cp:coreProperties>
</file>